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625AF" w14:textId="77777777" w:rsidR="000B6EAB" w:rsidRPr="005C0CF9" w:rsidRDefault="000B6EAB" w:rsidP="000B6EAB">
      <w:pPr>
        <w:jc w:val="center"/>
        <w:outlineLvl w:val="1"/>
        <w:rPr>
          <w:b/>
          <w:bCs/>
          <w:lang w:val="en-GB" w:eastAsia="es-ES"/>
        </w:rPr>
      </w:pPr>
      <w:r w:rsidRPr="005C0CF9">
        <w:rPr>
          <w:rStyle w:val="normaltextrun"/>
          <w:rFonts w:ascii="HelveticaNeueLT Std" w:hAnsi="HelveticaNeueLT Std"/>
          <w:b/>
          <w:bCs/>
          <w:sz w:val="28"/>
          <w:szCs w:val="28"/>
          <w:lang w:val="en-GB"/>
        </w:rPr>
        <w:t>2024 IGU Urban Commission Annual Conference </w:t>
      </w:r>
      <w:r w:rsidRPr="005C0CF9">
        <w:rPr>
          <w:rStyle w:val="eop"/>
          <w:rFonts w:ascii="HelveticaNeueLT Std" w:hAnsi="HelveticaNeueLT Std"/>
          <w:b/>
          <w:bCs/>
          <w:sz w:val="28"/>
          <w:szCs w:val="28"/>
          <w:lang w:val="en-GB"/>
        </w:rPr>
        <w:t> </w:t>
      </w:r>
    </w:p>
    <w:p w14:paraId="27E07428" w14:textId="77777777" w:rsidR="000B6EAB" w:rsidRPr="00A75714" w:rsidRDefault="000B6EAB" w:rsidP="000B6EAB">
      <w:pPr>
        <w:pStyle w:val="paragraph"/>
        <w:spacing w:before="0" w:beforeAutospacing="0" w:after="0" w:afterAutospacing="0"/>
        <w:jc w:val="center"/>
        <w:textAlignment w:val="baseline"/>
        <w:rPr>
          <w:lang w:val="en-GB"/>
        </w:rPr>
      </w:pPr>
      <w:r>
        <w:rPr>
          <w:rStyle w:val="normaltextrun"/>
          <w:rFonts w:ascii="HelveticaNeueLT Std" w:hAnsi="HelveticaNeueLT Std"/>
          <w:i/>
          <w:iCs/>
          <w:lang w:val="en-GB"/>
        </w:rPr>
        <w:t xml:space="preserve">‘(Re-)Thinking cities and the urban: from the global to the </w:t>
      </w:r>
      <w:proofErr w:type="gramStart"/>
      <w:r>
        <w:rPr>
          <w:rStyle w:val="normaltextrun"/>
          <w:rFonts w:ascii="HelveticaNeueLT Std" w:hAnsi="HelveticaNeueLT Std"/>
          <w:i/>
          <w:iCs/>
          <w:lang w:val="en-GB"/>
        </w:rPr>
        <w:t>local</w:t>
      </w:r>
      <w:r>
        <w:rPr>
          <w:rStyle w:val="eop"/>
          <w:rFonts w:ascii="HelveticaNeueLT Std" w:hAnsi="HelveticaNeueLT Std"/>
          <w:lang w:val="en-GB"/>
        </w:rPr>
        <w:t>‘</w:t>
      </w:r>
      <w:proofErr w:type="gramEnd"/>
    </w:p>
    <w:p w14:paraId="68D4E43E" w14:textId="77777777" w:rsidR="000B6EAB" w:rsidRDefault="000B6EAB" w:rsidP="000B6EAB">
      <w:pPr>
        <w:jc w:val="center"/>
        <w:outlineLvl w:val="1"/>
        <w:rPr>
          <w:rFonts w:cstheme="minorHAnsi"/>
          <w:b/>
          <w:bCs/>
          <w:sz w:val="28"/>
          <w:szCs w:val="28"/>
          <w:lang w:val="en-GB" w:eastAsia="gl-ES"/>
        </w:rPr>
      </w:pPr>
    </w:p>
    <w:p w14:paraId="4A4503D4" w14:textId="77777777" w:rsidR="000B6EAB" w:rsidRDefault="000B6EAB" w:rsidP="000B6EAB">
      <w:pPr>
        <w:jc w:val="center"/>
        <w:outlineLvl w:val="1"/>
        <w:rPr>
          <w:rStyle w:val="normaltextrun"/>
          <w:rFonts w:ascii="HelveticaNeueLT Std" w:hAnsi="HelveticaNeueLT Std"/>
          <w:sz w:val="28"/>
          <w:szCs w:val="28"/>
          <w:lang w:val="en-GB"/>
        </w:rPr>
      </w:pPr>
      <w:r>
        <w:rPr>
          <w:rStyle w:val="normaltextrun"/>
          <w:rFonts w:ascii="HelveticaNeueLT Std" w:hAnsi="HelveticaNeueLT Std"/>
          <w:sz w:val="28"/>
          <w:szCs w:val="28"/>
          <w:lang w:val="en-GB"/>
        </w:rPr>
        <w:t>Cork, Ireland – 20</w:t>
      </w:r>
      <w:r w:rsidRPr="005C0CF9">
        <w:rPr>
          <w:rStyle w:val="normaltextrun"/>
          <w:rFonts w:ascii="HelveticaNeueLT Std" w:hAnsi="HelveticaNeueLT Std"/>
          <w:sz w:val="28"/>
          <w:szCs w:val="28"/>
          <w:vertAlign w:val="superscript"/>
          <w:lang w:val="en-GB"/>
        </w:rPr>
        <w:t>th</w:t>
      </w:r>
      <w:r>
        <w:rPr>
          <w:rStyle w:val="normaltextrun"/>
          <w:rFonts w:ascii="HelveticaNeueLT Std" w:hAnsi="HelveticaNeueLT Std"/>
          <w:sz w:val="28"/>
          <w:szCs w:val="28"/>
          <w:lang w:val="en-GB"/>
        </w:rPr>
        <w:t xml:space="preserve"> to 23</w:t>
      </w:r>
      <w:r w:rsidRPr="005C0CF9">
        <w:rPr>
          <w:rStyle w:val="normaltextrun"/>
          <w:rFonts w:ascii="HelveticaNeueLT Std" w:hAnsi="HelveticaNeueLT Std"/>
          <w:sz w:val="28"/>
          <w:szCs w:val="28"/>
          <w:vertAlign w:val="superscript"/>
          <w:lang w:val="en-GB"/>
        </w:rPr>
        <w:t>rd</w:t>
      </w:r>
      <w:r>
        <w:rPr>
          <w:rStyle w:val="normaltextrun"/>
          <w:rFonts w:ascii="HelveticaNeueLT Std" w:hAnsi="HelveticaNeueLT Std"/>
          <w:sz w:val="28"/>
          <w:szCs w:val="28"/>
          <w:lang w:val="en-GB"/>
        </w:rPr>
        <w:t xml:space="preserve"> August 2024</w:t>
      </w:r>
    </w:p>
    <w:p w14:paraId="3D377C04" w14:textId="77777777" w:rsidR="001A73CD" w:rsidRPr="001A73CD" w:rsidRDefault="001A73CD" w:rsidP="001A73CD">
      <w:pPr>
        <w:spacing w:after="0" w:line="240" w:lineRule="auto"/>
        <w:jc w:val="center"/>
        <w:rPr>
          <w:rFonts w:ascii="HelveticaNeueLT Std" w:eastAsia="Times New Roman" w:hAnsi="HelveticaNeueLT Std" w:cstheme="minorHAnsi"/>
          <w:b/>
          <w:bCs/>
          <w:kern w:val="36"/>
          <w:sz w:val="24"/>
          <w:szCs w:val="24"/>
          <w:lang w:val="gl-ES" w:eastAsia="gl-ES"/>
        </w:rPr>
      </w:pPr>
    </w:p>
    <w:p w14:paraId="536B2D89" w14:textId="77777777" w:rsidR="003D258D" w:rsidRDefault="003D258D" w:rsidP="003D258D">
      <w:pPr>
        <w:jc w:val="center"/>
        <w:rPr>
          <w:rFonts w:ascii="HelveticaNeueLT Std" w:hAnsi="HelveticaNeueLT Std"/>
          <w:sz w:val="40"/>
          <w:szCs w:val="40"/>
          <w:lang w:val="en-US"/>
        </w:rPr>
      </w:pPr>
      <w:r w:rsidRPr="00A75714">
        <w:rPr>
          <w:rFonts w:ascii="HelveticaNeueLT Std" w:hAnsi="HelveticaNeueLT Std"/>
          <w:sz w:val="40"/>
          <w:szCs w:val="40"/>
          <w:lang w:val="en-US"/>
        </w:rPr>
        <w:t>CRISES, WHAT CRISIS? URBAN DEVELOPMENT AND POLICY IN SEARCH F</w:t>
      </w:r>
      <w:r>
        <w:rPr>
          <w:rFonts w:ascii="HelveticaNeueLT Std" w:hAnsi="HelveticaNeueLT Std"/>
          <w:sz w:val="40"/>
          <w:szCs w:val="40"/>
          <w:lang w:val="en-US"/>
        </w:rPr>
        <w:t>OR</w:t>
      </w:r>
      <w:r w:rsidRPr="00A75714">
        <w:rPr>
          <w:rFonts w:ascii="HelveticaNeueLT Std" w:hAnsi="HelveticaNeueLT Std"/>
          <w:sz w:val="40"/>
          <w:szCs w:val="40"/>
          <w:lang w:val="en-US"/>
        </w:rPr>
        <w:t xml:space="preserve"> THE "NEW NORMAL"</w:t>
      </w:r>
    </w:p>
    <w:p w14:paraId="51BEC639" w14:textId="77777777" w:rsidR="003D258D" w:rsidRDefault="003D258D" w:rsidP="003D258D">
      <w:pPr>
        <w:jc w:val="center"/>
        <w:rPr>
          <w:rFonts w:ascii="HelveticaNeueLT Std" w:hAnsi="HelveticaNeueLT Std"/>
          <w:sz w:val="40"/>
          <w:szCs w:val="40"/>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D258D" w14:paraId="5F01D240" w14:textId="77777777" w:rsidTr="00A53B93">
        <w:tc>
          <w:tcPr>
            <w:tcW w:w="4247" w:type="dxa"/>
          </w:tcPr>
          <w:p w14:paraId="1EC7504D" w14:textId="77777777" w:rsidR="003D258D" w:rsidRDefault="003D258D" w:rsidP="00A53B93">
            <w:pPr>
              <w:jc w:val="right"/>
              <w:rPr>
                <w:b/>
                <w:bCs/>
                <w:sz w:val="40"/>
                <w:szCs w:val="40"/>
                <w:lang w:val="en-US"/>
              </w:rPr>
            </w:pPr>
            <w:r>
              <w:rPr>
                <w:noProof/>
              </w:rPr>
              <w:drawing>
                <wp:inline distT="0" distB="0" distL="0" distR="0" wp14:anchorId="63EBC9EC" wp14:editId="65036BD5">
                  <wp:extent cx="1889760" cy="1417320"/>
                  <wp:effectExtent l="0" t="0" r="0" b="0"/>
                  <wp:docPr id="1733918565" name="Picture 1733918565" descr="A long shot of a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376229" name="Picture 1" descr="A long shot of a roa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9760" cy="1417320"/>
                          </a:xfrm>
                          <a:prstGeom prst="rect">
                            <a:avLst/>
                          </a:prstGeom>
                          <a:noFill/>
                          <a:ln>
                            <a:noFill/>
                          </a:ln>
                        </pic:spPr>
                      </pic:pic>
                    </a:graphicData>
                  </a:graphic>
                </wp:inline>
              </w:drawing>
            </w:r>
          </w:p>
          <w:p w14:paraId="5F605A69" w14:textId="77777777" w:rsidR="003D258D" w:rsidRDefault="003D258D" w:rsidP="00A53B93">
            <w:pPr>
              <w:jc w:val="right"/>
              <w:rPr>
                <w:b/>
                <w:bCs/>
                <w:sz w:val="40"/>
                <w:szCs w:val="40"/>
                <w:lang w:val="en-US"/>
              </w:rPr>
            </w:pPr>
            <w:r>
              <w:rPr>
                <w:noProof/>
              </w:rPr>
              <w:drawing>
                <wp:inline distT="0" distB="0" distL="0" distR="0" wp14:anchorId="26A95349" wp14:editId="6F3F288C">
                  <wp:extent cx="1882140" cy="1411605"/>
                  <wp:effectExtent l="0" t="0" r="3810" b="0"/>
                  <wp:docPr id="3" name="Picture 2" descr="A canal with building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anal with buildings in th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2140" cy="1411605"/>
                          </a:xfrm>
                          <a:prstGeom prst="rect">
                            <a:avLst/>
                          </a:prstGeom>
                          <a:noFill/>
                          <a:ln>
                            <a:noFill/>
                          </a:ln>
                        </pic:spPr>
                      </pic:pic>
                    </a:graphicData>
                  </a:graphic>
                </wp:inline>
              </w:drawing>
            </w:r>
          </w:p>
        </w:tc>
        <w:tc>
          <w:tcPr>
            <w:tcW w:w="4247" w:type="dxa"/>
          </w:tcPr>
          <w:p w14:paraId="0E795014" w14:textId="77777777" w:rsidR="003D258D" w:rsidRDefault="003D258D" w:rsidP="00A53B93">
            <w:pPr>
              <w:rPr>
                <w:b/>
                <w:bCs/>
                <w:sz w:val="40"/>
                <w:szCs w:val="40"/>
                <w:lang w:val="en-US"/>
              </w:rPr>
            </w:pPr>
            <w:r>
              <w:rPr>
                <w:noProof/>
              </w:rPr>
              <w:drawing>
                <wp:inline distT="0" distB="0" distL="0" distR="0" wp14:anchorId="42D4E089" wp14:editId="72F6559C">
                  <wp:extent cx="2137410" cy="2849880"/>
                  <wp:effectExtent l="0" t="0" r="0" b="7620"/>
                  <wp:docPr id="304624408" name="Picture 304624408" descr="A river with a bridge and build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10082" name="Picture 2" descr="A river with a bridge and building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7573" cy="2850097"/>
                          </a:xfrm>
                          <a:prstGeom prst="rect">
                            <a:avLst/>
                          </a:prstGeom>
                          <a:noFill/>
                          <a:ln>
                            <a:noFill/>
                          </a:ln>
                        </pic:spPr>
                      </pic:pic>
                    </a:graphicData>
                  </a:graphic>
                </wp:inline>
              </w:drawing>
            </w:r>
          </w:p>
        </w:tc>
      </w:tr>
    </w:tbl>
    <w:p w14:paraId="5C150D0C" w14:textId="6E1D0FBD" w:rsidR="001A73CD" w:rsidRDefault="001A73CD" w:rsidP="001A73CD">
      <w:pPr>
        <w:rPr>
          <w:b/>
          <w:bCs/>
          <w:sz w:val="40"/>
          <w:szCs w:val="40"/>
        </w:rPr>
      </w:pPr>
    </w:p>
    <w:p w14:paraId="498C8B82" w14:textId="5E808342" w:rsidR="001A73CD" w:rsidRDefault="001A73CD" w:rsidP="001A73CD">
      <w:pPr>
        <w:spacing w:after="0" w:line="312" w:lineRule="auto"/>
        <w:jc w:val="both"/>
        <w:rPr>
          <w:rFonts w:ascii="Helvetica" w:eastAsia="Times New Roman" w:hAnsi="Helvetica" w:cs="Helvetica"/>
          <w:b/>
          <w:bCs/>
          <w:lang w:val="en-GB" w:eastAsia="gl-ES"/>
        </w:rPr>
      </w:pPr>
      <w:r w:rsidRPr="001A73CD">
        <w:rPr>
          <w:rFonts w:ascii="Helvetica" w:eastAsia="Times New Roman" w:hAnsi="Helvetica" w:cs="Helvetica"/>
          <w:lang w:val="en-GB" w:eastAsia="gl-ES"/>
        </w:rPr>
        <w:t xml:space="preserve">Inside the papers presented in the Annual Meeting of IGU Urban Geography Commission, the </w:t>
      </w:r>
      <w:r w:rsidRPr="001A73CD">
        <w:rPr>
          <w:rFonts w:ascii="Helvetica" w:eastAsia="Times New Roman" w:hAnsi="Helvetica" w:cs="Helvetica"/>
          <w:b/>
          <w:bCs/>
          <w:lang w:val="en-GB" w:eastAsia="gl-ES"/>
        </w:rPr>
        <w:t>Early Career Researcher</w:t>
      </w:r>
      <w:r w:rsidRPr="001A73CD">
        <w:rPr>
          <w:rFonts w:ascii="Helvetica" w:eastAsia="Times New Roman" w:hAnsi="Helvetica" w:cs="Helvetica"/>
          <w:lang w:val="en-GB" w:eastAsia="gl-ES"/>
        </w:rPr>
        <w:t xml:space="preserve"> </w:t>
      </w:r>
      <w:r w:rsidRPr="001A73CD">
        <w:rPr>
          <w:rFonts w:ascii="Helvetica" w:eastAsia="Times New Roman" w:hAnsi="Helvetica" w:cs="Helvetica"/>
          <w:b/>
          <w:bCs/>
          <w:lang w:val="en-GB" w:eastAsia="gl-ES"/>
        </w:rPr>
        <w:t xml:space="preserve">Committee </w:t>
      </w:r>
      <w:r w:rsidRPr="001A73CD">
        <w:rPr>
          <w:rFonts w:ascii="Helvetica" w:eastAsia="Times New Roman" w:hAnsi="Helvetica" w:cs="Helvetica"/>
          <w:lang w:val="en-GB" w:eastAsia="gl-ES"/>
        </w:rPr>
        <w:t xml:space="preserve">encourage to researchers send their papers before </w:t>
      </w:r>
      <w:r w:rsidR="00C40798" w:rsidRPr="00AA7D4C">
        <w:rPr>
          <w:rFonts w:ascii="Helvetica" w:eastAsia="Times New Roman" w:hAnsi="Helvetica" w:cs="Helvetica"/>
          <w:b/>
          <w:bCs/>
          <w:color w:val="FF0000"/>
          <w:lang w:val="en-GB" w:eastAsia="gl-ES"/>
        </w:rPr>
        <w:t>15</w:t>
      </w:r>
      <w:r w:rsidR="00C40798" w:rsidRPr="00AA7D4C">
        <w:rPr>
          <w:rFonts w:ascii="Helvetica" w:eastAsia="Times New Roman" w:hAnsi="Helvetica" w:cs="Helvetica"/>
          <w:b/>
          <w:bCs/>
          <w:color w:val="FF0000"/>
          <w:vertAlign w:val="superscript"/>
          <w:lang w:val="en-GB" w:eastAsia="gl-ES"/>
        </w:rPr>
        <w:t>th</w:t>
      </w:r>
      <w:r w:rsidR="00C40798" w:rsidRPr="00AA7D4C">
        <w:rPr>
          <w:rFonts w:ascii="Helvetica" w:eastAsia="Times New Roman" w:hAnsi="Helvetica" w:cs="Helvetica"/>
          <w:b/>
          <w:bCs/>
          <w:color w:val="FF0000"/>
          <w:lang w:val="en-GB" w:eastAsia="gl-ES"/>
        </w:rPr>
        <w:t xml:space="preserve"> February.</w:t>
      </w:r>
    </w:p>
    <w:p w14:paraId="25C6C8D2" w14:textId="77777777" w:rsidR="00C40798" w:rsidRPr="001A73CD" w:rsidRDefault="00C40798" w:rsidP="001A73CD">
      <w:pPr>
        <w:spacing w:after="0" w:line="312" w:lineRule="auto"/>
        <w:jc w:val="both"/>
        <w:rPr>
          <w:rFonts w:ascii="Helvetica" w:eastAsia="Times New Roman" w:hAnsi="Helvetica" w:cs="Helvetica"/>
          <w:lang w:val="en-GB" w:eastAsia="gl-ES"/>
        </w:rPr>
      </w:pPr>
    </w:p>
    <w:p w14:paraId="438FDCF1" w14:textId="029F4739" w:rsidR="008F6592" w:rsidRDefault="001A73CD" w:rsidP="001A73CD">
      <w:pPr>
        <w:spacing w:after="0" w:line="312" w:lineRule="auto"/>
        <w:jc w:val="both"/>
      </w:pPr>
      <w:r w:rsidRPr="001A73CD">
        <w:rPr>
          <w:rFonts w:ascii="Helvetica" w:eastAsia="Times New Roman" w:hAnsi="Helvetica" w:cs="Helvetica"/>
          <w:lang w:val="en-GB" w:eastAsia="gl-ES"/>
        </w:rPr>
        <w:t xml:space="preserve">WEBSITE to access to the whole information on the </w:t>
      </w:r>
      <w:r w:rsidRPr="001A73CD">
        <w:rPr>
          <w:rFonts w:ascii="Helvetica" w:eastAsia="Times New Roman" w:hAnsi="Helvetica" w:cs="Helvetica"/>
          <w:b/>
          <w:bCs/>
          <w:lang w:val="en-GB" w:eastAsia="gl-ES"/>
        </w:rPr>
        <w:t>conference program, registration and forms, accommodation</w:t>
      </w:r>
      <w:r w:rsidRPr="001A73CD">
        <w:rPr>
          <w:rFonts w:ascii="Helvetica" w:eastAsia="Times New Roman" w:hAnsi="Helvetica" w:cs="Helvetica"/>
          <w:lang w:val="en-GB" w:eastAsia="gl-ES"/>
        </w:rPr>
        <w:t xml:space="preserve">: </w:t>
      </w:r>
    </w:p>
    <w:p w14:paraId="0631D865" w14:textId="77777777" w:rsidR="003D258D" w:rsidRPr="001A73CD" w:rsidRDefault="003D258D" w:rsidP="001A73CD">
      <w:pPr>
        <w:spacing w:after="0" w:line="312" w:lineRule="auto"/>
        <w:jc w:val="both"/>
        <w:rPr>
          <w:rFonts w:ascii="Helvetica" w:hAnsi="Helvetica" w:cs="Helvetica"/>
          <w:lang w:val="en-GB"/>
        </w:rPr>
      </w:pPr>
    </w:p>
    <w:p w14:paraId="62B2027B" w14:textId="2DBFD2F2" w:rsidR="001A73CD" w:rsidRDefault="001A73CD" w:rsidP="001A73CD">
      <w:pPr>
        <w:spacing w:after="0" w:line="312" w:lineRule="auto"/>
        <w:jc w:val="both"/>
        <w:rPr>
          <w:rFonts w:ascii="Helvetica" w:eastAsia="Times New Roman" w:hAnsi="Helvetica" w:cs="Helvetica"/>
          <w:lang w:val="en-GB" w:eastAsia="gl-ES"/>
        </w:rPr>
      </w:pPr>
      <w:r w:rsidRPr="001A73CD">
        <w:rPr>
          <w:rFonts w:ascii="Helvetica" w:eastAsia="Times New Roman" w:hAnsi="Helvetica" w:cs="Helvetica"/>
          <w:lang w:val="en-GB" w:eastAsia="gl-ES"/>
        </w:rPr>
        <w:t xml:space="preserve">Participation is </w:t>
      </w:r>
      <w:r w:rsidRPr="001A73CD">
        <w:rPr>
          <w:rFonts w:ascii="Helvetica" w:eastAsia="Times New Roman" w:hAnsi="Helvetica" w:cs="Helvetica"/>
          <w:b/>
          <w:bCs/>
          <w:lang w:val="en-GB" w:eastAsia="gl-ES"/>
        </w:rPr>
        <w:t>open to all Early Career Researchers</w:t>
      </w:r>
      <w:r w:rsidRPr="001A73CD">
        <w:rPr>
          <w:rFonts w:ascii="Helvetica" w:eastAsia="Times New Roman" w:hAnsi="Helvetica" w:cs="Helvetica"/>
          <w:lang w:val="en-GB" w:eastAsia="gl-ES"/>
        </w:rPr>
        <w:t xml:space="preserve"> participating in the IGU Urban Commission meeting.</w:t>
      </w:r>
      <w:r w:rsidR="008F6592">
        <w:rPr>
          <w:rFonts w:ascii="Helvetica" w:eastAsia="Times New Roman" w:hAnsi="Helvetica" w:cs="Helvetica"/>
          <w:lang w:val="en-GB" w:eastAsia="gl-ES"/>
        </w:rPr>
        <w:t xml:space="preserve"> </w:t>
      </w:r>
      <w:r w:rsidRPr="001A73CD">
        <w:rPr>
          <w:rFonts w:ascii="Helvetica" w:eastAsia="Times New Roman" w:hAnsi="Helvetica" w:cs="Helvetica"/>
          <w:lang w:val="en-GB" w:eastAsia="gl-ES"/>
        </w:rPr>
        <w:t xml:space="preserve">The prize fund is </w:t>
      </w:r>
      <w:r w:rsidRPr="00C40798">
        <w:rPr>
          <w:rFonts w:ascii="Helvetica" w:eastAsia="Times New Roman" w:hAnsi="Helvetica" w:cs="Helvetica"/>
          <w:lang w:val="en-GB" w:eastAsia="gl-ES"/>
        </w:rPr>
        <w:t>US$</w:t>
      </w:r>
      <w:r w:rsidR="00C40798" w:rsidRPr="00C40798">
        <w:rPr>
          <w:rFonts w:ascii="Helvetica" w:eastAsia="Times New Roman" w:hAnsi="Helvetica" w:cs="Helvetica"/>
          <w:lang w:val="en-GB" w:eastAsia="gl-ES"/>
        </w:rPr>
        <w:t>5</w:t>
      </w:r>
      <w:r w:rsidRPr="00C40798">
        <w:rPr>
          <w:rFonts w:ascii="Helvetica" w:eastAsia="Times New Roman" w:hAnsi="Helvetica" w:cs="Helvetica"/>
          <w:lang w:val="en-GB" w:eastAsia="gl-ES"/>
        </w:rPr>
        <w:t>00.</w:t>
      </w:r>
    </w:p>
    <w:p w14:paraId="2B87E2D0" w14:textId="77777777" w:rsidR="008F6592" w:rsidRPr="001A73CD" w:rsidRDefault="008F6592" w:rsidP="001A73CD">
      <w:pPr>
        <w:spacing w:after="0" w:line="312" w:lineRule="auto"/>
        <w:jc w:val="both"/>
        <w:rPr>
          <w:rFonts w:ascii="Helvetica" w:eastAsia="Times New Roman" w:hAnsi="Helvetica" w:cs="Helvetica"/>
          <w:lang w:val="en-GB" w:eastAsia="gl-ES"/>
        </w:rPr>
      </w:pPr>
    </w:p>
    <w:p w14:paraId="621624FD" w14:textId="169335EB" w:rsidR="001A73CD" w:rsidRDefault="001A73CD" w:rsidP="001A73CD">
      <w:pPr>
        <w:spacing w:after="0" w:line="312" w:lineRule="auto"/>
        <w:jc w:val="both"/>
        <w:rPr>
          <w:rFonts w:ascii="Helvetica" w:eastAsia="Times New Roman" w:hAnsi="Helvetica" w:cs="Helvetica"/>
          <w:lang w:val="en-GB" w:eastAsia="gl-ES"/>
        </w:rPr>
      </w:pPr>
      <w:r w:rsidRPr="001A73CD">
        <w:rPr>
          <w:rFonts w:ascii="Helvetica" w:eastAsia="Times New Roman" w:hAnsi="Helvetica" w:cs="Helvetica"/>
          <w:lang w:val="en-GB" w:eastAsia="gl-ES"/>
        </w:rPr>
        <w:t xml:space="preserve">The </w:t>
      </w:r>
      <w:r w:rsidRPr="001A73CD">
        <w:rPr>
          <w:rFonts w:ascii="Helvetica" w:eastAsia="Times New Roman" w:hAnsi="Helvetica" w:cs="Helvetica"/>
          <w:b/>
          <w:bCs/>
          <w:lang w:val="en-GB" w:eastAsia="gl-ES"/>
        </w:rPr>
        <w:t>Early Career Researcher</w:t>
      </w:r>
      <w:r w:rsidRPr="001A73CD">
        <w:rPr>
          <w:rFonts w:ascii="Helvetica" w:eastAsia="Times New Roman" w:hAnsi="Helvetica" w:cs="Helvetica"/>
          <w:lang w:val="en-GB" w:eastAsia="gl-ES"/>
        </w:rPr>
        <w:t xml:space="preserve"> </w:t>
      </w:r>
      <w:r w:rsidRPr="001A73CD">
        <w:rPr>
          <w:rFonts w:ascii="Helvetica" w:eastAsia="Times New Roman" w:hAnsi="Helvetica" w:cs="Helvetica"/>
          <w:b/>
          <w:bCs/>
          <w:lang w:val="en-GB" w:eastAsia="gl-ES"/>
        </w:rPr>
        <w:t>Committee</w:t>
      </w:r>
      <w:r w:rsidRPr="001A73CD">
        <w:rPr>
          <w:rFonts w:ascii="Helvetica" w:eastAsia="Times New Roman" w:hAnsi="Helvetica" w:cs="Helvetica"/>
          <w:lang w:val="en-GB" w:eastAsia="gl-ES"/>
        </w:rPr>
        <w:t xml:space="preserve"> will handle the adjudication process under the supervision of the coordinator. Each paper will be blind reviewed by 2 members of the committee, who will evaluate it by a clear set of criteria. The coordinator will make </w:t>
      </w:r>
      <w:r w:rsidRPr="001A73CD">
        <w:rPr>
          <w:rFonts w:ascii="Helvetica" w:eastAsia="Times New Roman" w:hAnsi="Helvetica" w:cs="Helvetica"/>
          <w:lang w:val="en-GB" w:eastAsia="gl-ES"/>
        </w:rPr>
        <w:lastRenderedPageBreak/>
        <w:t xml:space="preserve">the choice of the reviewers, will collect the </w:t>
      </w:r>
      <w:proofErr w:type="gramStart"/>
      <w:r w:rsidRPr="001A73CD">
        <w:rPr>
          <w:rFonts w:ascii="Helvetica" w:eastAsia="Times New Roman" w:hAnsi="Helvetica" w:cs="Helvetica"/>
          <w:lang w:val="en-GB" w:eastAsia="gl-ES"/>
        </w:rPr>
        <w:t>reviews</w:t>
      </w:r>
      <w:proofErr w:type="gramEnd"/>
      <w:r w:rsidRPr="001A73CD">
        <w:rPr>
          <w:rFonts w:ascii="Helvetica" w:eastAsia="Times New Roman" w:hAnsi="Helvetica" w:cs="Helvetica"/>
          <w:lang w:val="en-GB" w:eastAsia="gl-ES"/>
        </w:rPr>
        <w:t xml:space="preserve"> and will make the decision in agreement with the whole committee. The judges’ decision will be final and there will be no correspondence with the authors regarding the decision. The panel reserves the right not to award the prize in any year.</w:t>
      </w:r>
    </w:p>
    <w:p w14:paraId="28882CAC" w14:textId="77777777" w:rsidR="008F6592" w:rsidRPr="001A73CD" w:rsidRDefault="008F6592" w:rsidP="001A73CD">
      <w:pPr>
        <w:spacing w:after="0" w:line="312" w:lineRule="auto"/>
        <w:jc w:val="both"/>
        <w:rPr>
          <w:rFonts w:ascii="Helvetica" w:eastAsia="Times New Roman" w:hAnsi="Helvetica" w:cs="Helvetica"/>
          <w:lang w:val="en-GB" w:eastAsia="gl-ES"/>
        </w:rPr>
      </w:pPr>
    </w:p>
    <w:p w14:paraId="3F79BBCA" w14:textId="0BF33705" w:rsidR="001A73CD" w:rsidRDefault="001A73CD" w:rsidP="001A73CD">
      <w:pPr>
        <w:spacing w:after="0" w:line="312" w:lineRule="auto"/>
        <w:jc w:val="both"/>
        <w:rPr>
          <w:rFonts w:ascii="Helvetica" w:eastAsia="Times New Roman" w:hAnsi="Helvetica" w:cs="Helvetica"/>
          <w:b/>
          <w:bCs/>
          <w:lang w:val="en-GB" w:eastAsia="gl-ES"/>
        </w:rPr>
      </w:pPr>
      <w:r w:rsidRPr="001A73CD">
        <w:rPr>
          <w:rFonts w:ascii="Helvetica" w:eastAsia="Times New Roman" w:hAnsi="Helvetica" w:cs="Helvetica"/>
          <w:lang w:val="en-GB" w:eastAsia="gl-ES"/>
        </w:rPr>
        <w:t xml:space="preserve">A full paper must be submitted by the author using the </w:t>
      </w:r>
      <w:r w:rsidRPr="001A73CD">
        <w:rPr>
          <w:rFonts w:ascii="Helvetica" w:eastAsia="Times New Roman" w:hAnsi="Helvetica" w:cs="Helvetica"/>
          <w:b/>
          <w:bCs/>
          <w:lang w:val="en-GB" w:eastAsia="gl-ES"/>
        </w:rPr>
        <w:t>abstracts template</w:t>
      </w:r>
      <w:r w:rsidRPr="001A73CD">
        <w:rPr>
          <w:rFonts w:ascii="Helvetica" w:eastAsia="Times New Roman" w:hAnsi="Helvetica" w:cs="Helvetica"/>
          <w:lang w:val="en-GB" w:eastAsia="gl-ES"/>
        </w:rPr>
        <w:t xml:space="preserve"> </w:t>
      </w:r>
      <w:r w:rsidR="008F6592" w:rsidRPr="008F6592">
        <w:rPr>
          <w:rFonts w:ascii="Helvetica" w:eastAsia="Times New Roman" w:hAnsi="Helvetica" w:cs="Helvetica"/>
          <w:lang w:val="en-GB" w:eastAsia="gl-ES"/>
        </w:rPr>
        <w:t xml:space="preserve">It shall be </w:t>
      </w:r>
      <w:r w:rsidR="008F6592" w:rsidRPr="00B040B6">
        <w:rPr>
          <w:rFonts w:ascii="Helvetica" w:eastAsia="Times New Roman" w:hAnsi="Helvetica" w:cs="Helvetica"/>
          <w:b/>
          <w:bCs/>
          <w:lang w:val="en-GB" w:eastAsia="gl-ES"/>
        </w:rPr>
        <w:t>6 pages in length</w:t>
      </w:r>
      <w:r w:rsidR="008F6592">
        <w:rPr>
          <w:rFonts w:ascii="Helvetica" w:eastAsia="Times New Roman" w:hAnsi="Helvetica" w:cs="Helvetica"/>
          <w:lang w:val="en-GB" w:eastAsia="gl-ES"/>
        </w:rPr>
        <w:t xml:space="preserve">. </w:t>
      </w:r>
      <w:r w:rsidRPr="001A73CD">
        <w:rPr>
          <w:rFonts w:ascii="Helvetica" w:eastAsia="Times New Roman" w:hAnsi="Helvetica" w:cs="Helvetica"/>
          <w:b/>
          <w:bCs/>
          <w:lang w:val="en-GB" w:eastAsia="gl-ES"/>
        </w:rPr>
        <w:t>Only papers submitted in this way will be judged as part of the competition.</w:t>
      </w:r>
    </w:p>
    <w:p w14:paraId="0C927C4F" w14:textId="6AB78CBB" w:rsidR="008F6592" w:rsidRDefault="008F6592" w:rsidP="001A73CD">
      <w:pPr>
        <w:spacing w:after="0" w:line="312" w:lineRule="auto"/>
        <w:jc w:val="both"/>
        <w:rPr>
          <w:rFonts w:ascii="Helvetica" w:eastAsia="Times New Roman" w:hAnsi="Helvetica" w:cs="Helvetica"/>
          <w:b/>
          <w:bCs/>
          <w:lang w:val="en-GB" w:eastAsia="gl-ES"/>
        </w:rPr>
      </w:pPr>
    </w:p>
    <w:p w14:paraId="1E9EDE51" w14:textId="5050DC66" w:rsidR="008F6592" w:rsidRPr="001A73CD" w:rsidRDefault="00496BC9" w:rsidP="00496BC9">
      <w:pPr>
        <w:spacing w:after="0" w:line="312" w:lineRule="auto"/>
        <w:jc w:val="both"/>
        <w:rPr>
          <w:rFonts w:ascii="Helvetica" w:eastAsia="Times New Roman" w:hAnsi="Helvetica" w:cs="Helvetica"/>
          <w:lang w:val="en-GB" w:eastAsia="gl-ES"/>
        </w:rPr>
      </w:pPr>
      <w:r w:rsidRPr="00496BC9">
        <w:rPr>
          <w:rFonts w:ascii="Helvetica" w:eastAsia="Times New Roman" w:hAnsi="Helvetica" w:cs="Helvetica"/>
          <w:b/>
          <w:bCs/>
          <w:lang w:val="en-GB" w:eastAsia="gl-ES"/>
        </w:rPr>
        <w:t>Only one text</w:t>
      </w:r>
      <w:r w:rsidRPr="00496BC9">
        <w:rPr>
          <w:rFonts w:ascii="Helvetica" w:eastAsia="Times New Roman" w:hAnsi="Helvetica" w:cs="Helvetica"/>
          <w:lang w:val="en-GB" w:eastAsia="gl-ES"/>
        </w:rPr>
        <w:t xml:space="preserve"> </w:t>
      </w:r>
      <w:r w:rsidRPr="00496BC9">
        <w:rPr>
          <w:rFonts w:ascii="Helvetica" w:eastAsia="Times New Roman" w:hAnsi="Helvetica" w:cs="Helvetica"/>
          <w:b/>
          <w:bCs/>
          <w:lang w:val="en-GB" w:eastAsia="gl-ES"/>
        </w:rPr>
        <w:t>per author</w:t>
      </w:r>
      <w:r w:rsidRPr="00496BC9">
        <w:rPr>
          <w:rFonts w:ascii="Helvetica" w:eastAsia="Times New Roman" w:hAnsi="Helvetica" w:cs="Helvetica"/>
          <w:lang w:val="en-GB" w:eastAsia="gl-ES"/>
        </w:rPr>
        <w:t xml:space="preserve"> may be submitted for the </w:t>
      </w:r>
      <w:r>
        <w:rPr>
          <w:rFonts w:ascii="Helvetica" w:eastAsia="Times New Roman" w:hAnsi="Helvetica" w:cs="Helvetica"/>
          <w:lang w:val="en-GB" w:eastAsia="gl-ES"/>
        </w:rPr>
        <w:t>award</w:t>
      </w:r>
      <w:r w:rsidRPr="00496BC9">
        <w:rPr>
          <w:rFonts w:ascii="Helvetica" w:eastAsia="Times New Roman" w:hAnsi="Helvetica" w:cs="Helvetica"/>
          <w:lang w:val="en-GB" w:eastAsia="gl-ES"/>
        </w:rPr>
        <w:t>.</w:t>
      </w:r>
    </w:p>
    <w:sectPr w:rsidR="008F6592" w:rsidRPr="001A73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20B08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CD"/>
    <w:rsid w:val="000B6EAB"/>
    <w:rsid w:val="00133586"/>
    <w:rsid w:val="00195983"/>
    <w:rsid w:val="001A73CD"/>
    <w:rsid w:val="00323510"/>
    <w:rsid w:val="003D258D"/>
    <w:rsid w:val="00496BC9"/>
    <w:rsid w:val="00754B4C"/>
    <w:rsid w:val="00897EC6"/>
    <w:rsid w:val="008F6592"/>
    <w:rsid w:val="00AA7D4C"/>
    <w:rsid w:val="00B040B6"/>
    <w:rsid w:val="00C40798"/>
    <w:rsid w:val="00C5562E"/>
    <w:rsid w:val="00CB5E40"/>
    <w:rsid w:val="00CB7072"/>
    <w:rsid w:val="00CC6EF5"/>
    <w:rsid w:val="00DA0DAB"/>
    <w:rsid w:val="00FD0B08"/>
    <w:rsid w:val="00FF1B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2D9C"/>
  <w15:chartTrackingRefBased/>
  <w15:docId w15:val="{C03500C0-1D8A-4E1F-A67A-4CDFA8C8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6592"/>
    <w:rPr>
      <w:color w:val="0563C1" w:themeColor="hyperlink"/>
      <w:u w:val="single"/>
    </w:rPr>
  </w:style>
  <w:style w:type="character" w:styleId="Mencinsinresolver">
    <w:name w:val="Unresolved Mention"/>
    <w:basedOn w:val="Fuentedeprrafopredeter"/>
    <w:uiPriority w:val="99"/>
    <w:semiHidden/>
    <w:unhideWhenUsed/>
    <w:rsid w:val="008F6592"/>
    <w:rPr>
      <w:color w:val="605E5C"/>
      <w:shd w:val="clear" w:color="auto" w:fill="E1DFDD"/>
    </w:rPr>
  </w:style>
  <w:style w:type="character" w:styleId="Refdecomentario">
    <w:name w:val="annotation reference"/>
    <w:basedOn w:val="Fuentedeprrafopredeter"/>
    <w:uiPriority w:val="99"/>
    <w:semiHidden/>
    <w:unhideWhenUsed/>
    <w:rsid w:val="008F6592"/>
    <w:rPr>
      <w:sz w:val="16"/>
      <w:szCs w:val="16"/>
    </w:rPr>
  </w:style>
  <w:style w:type="paragraph" w:styleId="Textocomentario">
    <w:name w:val="annotation text"/>
    <w:basedOn w:val="Normal"/>
    <w:link w:val="TextocomentarioCar"/>
    <w:uiPriority w:val="99"/>
    <w:semiHidden/>
    <w:unhideWhenUsed/>
    <w:rsid w:val="008F659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F6592"/>
    <w:rPr>
      <w:sz w:val="20"/>
      <w:szCs w:val="20"/>
    </w:rPr>
  </w:style>
  <w:style w:type="paragraph" w:styleId="Asuntodelcomentario">
    <w:name w:val="annotation subject"/>
    <w:basedOn w:val="Textocomentario"/>
    <w:next w:val="Textocomentario"/>
    <w:link w:val="AsuntodelcomentarioCar"/>
    <w:uiPriority w:val="99"/>
    <w:semiHidden/>
    <w:unhideWhenUsed/>
    <w:rsid w:val="008F6592"/>
    <w:rPr>
      <w:b/>
      <w:bCs/>
    </w:rPr>
  </w:style>
  <w:style w:type="character" w:customStyle="1" w:styleId="AsuntodelcomentarioCar">
    <w:name w:val="Asunto del comentario Car"/>
    <w:basedOn w:val="TextocomentarioCar"/>
    <w:link w:val="Asuntodelcomentario"/>
    <w:uiPriority w:val="99"/>
    <w:semiHidden/>
    <w:rsid w:val="008F6592"/>
    <w:rPr>
      <w:b/>
      <w:bCs/>
      <w:sz w:val="20"/>
      <w:szCs w:val="20"/>
    </w:rPr>
  </w:style>
  <w:style w:type="paragraph" w:customStyle="1" w:styleId="paragraph">
    <w:name w:val="paragraph"/>
    <w:basedOn w:val="Normal"/>
    <w:rsid w:val="000B6EA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0B6EAB"/>
  </w:style>
  <w:style w:type="character" w:customStyle="1" w:styleId="eop">
    <w:name w:val="eop"/>
    <w:basedOn w:val="Fuentedeprrafopredeter"/>
    <w:rsid w:val="000B6EAB"/>
  </w:style>
  <w:style w:type="table" w:styleId="Tablaconcuadrcula">
    <w:name w:val="Table Grid"/>
    <w:basedOn w:val="Tablanormal"/>
    <w:uiPriority w:val="39"/>
    <w:rsid w:val="003D2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219</Words>
  <Characters>1254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PIÑEIRA MANTIÑAN MARIA JOSE</dc:creator>
  <cp:keywords/>
  <dc:description/>
  <cp:lastModifiedBy>PIÑEIRA MANTIÑAN MARIA JOSE</cp:lastModifiedBy>
  <cp:revision>7</cp:revision>
  <dcterms:created xsi:type="dcterms:W3CDTF">2023-12-26T09:45:00Z</dcterms:created>
  <dcterms:modified xsi:type="dcterms:W3CDTF">2023-12-27T08:34:00Z</dcterms:modified>
</cp:coreProperties>
</file>